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71C8" w14:textId="7BEB3761" w:rsidR="008278AE" w:rsidRPr="009A7340" w:rsidRDefault="008278AE" w:rsidP="00846D8B">
      <w:pPr>
        <w:jc w:val="center"/>
        <w:rPr>
          <w:b/>
          <w:u w:val="single"/>
          <w:lang w:val="sq-AL"/>
        </w:rPr>
      </w:pPr>
      <w:r w:rsidRPr="009A7340">
        <w:rPr>
          <w:b/>
          <w:u w:val="single"/>
          <w:lang w:val="sq-AL"/>
        </w:rPr>
        <w:t>RAPORTI I PUNËS PËR VITIN 2025</w:t>
      </w:r>
    </w:p>
    <w:p w14:paraId="09B870F6" w14:textId="3399A8F9" w:rsidR="00846D8B" w:rsidRDefault="00846D8B" w:rsidP="00846D8B">
      <w:pPr>
        <w:jc w:val="center"/>
        <w:rPr>
          <w:lang w:val="sq-AL"/>
        </w:rPr>
      </w:pPr>
    </w:p>
    <w:p w14:paraId="28F4384B" w14:textId="77777777" w:rsidR="009A7340" w:rsidRPr="00D8407F" w:rsidRDefault="009A7340" w:rsidP="00846D8B">
      <w:pPr>
        <w:jc w:val="center"/>
        <w:rPr>
          <w:lang w:val="sq-AL"/>
        </w:rPr>
      </w:pPr>
      <w:bookmarkStart w:id="0" w:name="_GoBack"/>
      <w:bookmarkEnd w:id="0"/>
    </w:p>
    <w:p w14:paraId="52D7C8A4" w14:textId="77777777" w:rsidR="008278AE" w:rsidRPr="00D8407F" w:rsidRDefault="008278AE" w:rsidP="008278AE">
      <w:pPr>
        <w:rPr>
          <w:lang w:val="sq-AL"/>
        </w:rPr>
      </w:pPr>
      <w:r w:rsidRPr="00D8407F">
        <w:rPr>
          <w:lang w:val="sq-AL"/>
        </w:rPr>
        <w:t>Sektori për Komunikim me Publikun dhe Teknologji Informative, i cili funksionon në kuadër të Kabinetit të Kryetarit të Komunës së Ferizajt, gjatë vitit 2025 ka shënuar suksese domethënëse në fushën e informimit publik dhe të teknologjisë informative, në shërbim të aktiviteteve të Komunës së Ferizajt.</w:t>
      </w:r>
    </w:p>
    <w:p w14:paraId="3B392441" w14:textId="77777777" w:rsidR="008278AE" w:rsidRPr="00D8407F" w:rsidRDefault="008278AE" w:rsidP="008278AE">
      <w:pPr>
        <w:rPr>
          <w:lang w:val="sq-AL"/>
        </w:rPr>
      </w:pPr>
      <w:r w:rsidRPr="00D8407F">
        <w:rPr>
          <w:lang w:val="sq-AL"/>
        </w:rPr>
        <w:t>Gjatë këtij viti, ky sektor ka arritur të sigurojë shpërndarjen e rregullt, të saktë dhe në kohë të informacioneve që lidhen me aktivitetet e Zyrës së Kryetarit të Komunës dhe të drejtorive komunale. Pasqyrimi i drejtë dhe i paanshëm i ngjarjeve që zhvillohen për dhe nga Komuna e Ferizajt është përmbushur si mision themelor i Sektorit për Komunikim me Publikun dhe Teknologji Informative, përmes përcjelljes dhe publikimit të plotë të veprimtarisë së organeve të administratës komunale, pushtetit ekzekutiv dhe legjislativ.</w:t>
      </w:r>
    </w:p>
    <w:p w14:paraId="1A30A1F0" w14:textId="77777777" w:rsidR="008278AE" w:rsidRPr="00D8407F" w:rsidRDefault="008278AE" w:rsidP="008278AE">
      <w:pPr>
        <w:rPr>
          <w:lang w:val="sq-AL"/>
        </w:rPr>
      </w:pPr>
      <w:r w:rsidRPr="00D8407F">
        <w:rPr>
          <w:lang w:val="sq-AL"/>
        </w:rPr>
        <w:t xml:space="preserve">Sfida kryesore gjatë vitit që lamë pas ka qenë bartja e dokumentacionit nga </w:t>
      </w:r>
      <w:proofErr w:type="spellStart"/>
      <w:r w:rsidRPr="00D8407F">
        <w:rPr>
          <w:lang w:val="sq-AL"/>
        </w:rPr>
        <w:t>uebfaqja</w:t>
      </w:r>
      <w:proofErr w:type="spellEnd"/>
      <w:r w:rsidRPr="00D8407F">
        <w:rPr>
          <w:lang w:val="sq-AL"/>
        </w:rPr>
        <w:t xml:space="preserve"> e vjetër në </w:t>
      </w:r>
      <w:proofErr w:type="spellStart"/>
      <w:r w:rsidRPr="00D8407F">
        <w:rPr>
          <w:lang w:val="sq-AL"/>
        </w:rPr>
        <w:t>uebfaqen</w:t>
      </w:r>
      <w:proofErr w:type="spellEnd"/>
      <w:r w:rsidRPr="00D8407F">
        <w:rPr>
          <w:lang w:val="sq-AL"/>
        </w:rPr>
        <w:t xml:space="preserve"> e re të Komunës, proces i cili është shoqëruar me mungesë të theksuar të dokumenteve të fshira nga </w:t>
      </w:r>
      <w:proofErr w:type="spellStart"/>
      <w:r w:rsidRPr="00D8407F">
        <w:rPr>
          <w:lang w:val="sq-AL"/>
        </w:rPr>
        <w:t>uebfaqja</w:t>
      </w:r>
      <w:proofErr w:type="spellEnd"/>
      <w:r w:rsidRPr="00D8407F">
        <w:rPr>
          <w:lang w:val="sq-AL"/>
        </w:rPr>
        <w:t xml:space="preserve"> e mëparshme. Pavarësisht këtyre vështirësive, Zyra ka arritur të publikojë dhe </w:t>
      </w:r>
      <w:proofErr w:type="spellStart"/>
      <w:r w:rsidRPr="00D8407F">
        <w:rPr>
          <w:lang w:val="sq-AL"/>
        </w:rPr>
        <w:t>ripublikojë</w:t>
      </w:r>
      <w:proofErr w:type="spellEnd"/>
      <w:r w:rsidRPr="00D8407F">
        <w:rPr>
          <w:lang w:val="sq-AL"/>
        </w:rPr>
        <w:t xml:space="preserve"> qindra dokumente me rëndësi të veçantë për qytetarët në </w:t>
      </w:r>
      <w:proofErr w:type="spellStart"/>
      <w:r w:rsidRPr="00D8407F">
        <w:rPr>
          <w:lang w:val="sq-AL"/>
        </w:rPr>
        <w:t>uebfaqen</w:t>
      </w:r>
      <w:proofErr w:type="spellEnd"/>
      <w:r w:rsidRPr="00D8407F">
        <w:rPr>
          <w:lang w:val="sq-AL"/>
        </w:rPr>
        <w:t xml:space="preserve"> e re zyrtare.</w:t>
      </w:r>
    </w:p>
    <w:p w14:paraId="56C1433C" w14:textId="77777777" w:rsidR="008278AE" w:rsidRPr="00D8407F" w:rsidRDefault="008278AE" w:rsidP="008278AE">
      <w:pPr>
        <w:rPr>
          <w:lang w:val="sq-AL"/>
        </w:rPr>
      </w:pPr>
      <w:r w:rsidRPr="00D8407F">
        <w:rPr>
          <w:lang w:val="sq-AL"/>
        </w:rPr>
        <w:t>Në planin e dokumenteve strategjike, janë përmbushur të gjitha obligimet dhe kërkesat e nivelit qendror, përkatësisht të Ministrisë së Administrimit të Pushtetit Lokal (MAPL), sa i përket miratimit të dokumenteve që kanë për synim rritjen e transparencës komunale.</w:t>
      </w:r>
    </w:p>
    <w:p w14:paraId="4F3D46D6" w14:textId="77777777" w:rsidR="008278AE" w:rsidRPr="00D8407F" w:rsidRDefault="008278AE" w:rsidP="008278AE">
      <w:pPr>
        <w:rPr>
          <w:lang w:val="sq-AL"/>
        </w:rPr>
      </w:pPr>
      <w:r w:rsidRPr="00D8407F">
        <w:rPr>
          <w:lang w:val="sq-AL"/>
        </w:rPr>
        <w:t xml:space="preserve">Në vitin 2025, Sektori për Komunikim me Publikun ka qenë gjithashtu përgjegjës për procesin e Zvogëlimit të Barrës Administrative. Gjatë këtij viti janë funksionalizuar 30 shërbime komunale </w:t>
      </w:r>
      <w:proofErr w:type="spellStart"/>
      <w:r w:rsidRPr="00D8407F">
        <w:rPr>
          <w:lang w:val="sq-AL"/>
        </w:rPr>
        <w:t>online</w:t>
      </w:r>
      <w:proofErr w:type="spellEnd"/>
      <w:r w:rsidRPr="00D8407F">
        <w:rPr>
          <w:lang w:val="sq-AL"/>
        </w:rPr>
        <w:t xml:space="preserve"> për qytetarët, me qëllim lehtësimin e qasjes në shërbime dhe shmangien e pritjeve të gjata në sektorë të ndryshëm të Komunës së Ferizajt.</w:t>
      </w:r>
    </w:p>
    <w:p w14:paraId="7CD36B1C" w14:textId="77777777" w:rsidR="008278AE" w:rsidRPr="00D8407F" w:rsidRDefault="008278AE" w:rsidP="008278AE">
      <w:pPr>
        <w:rPr>
          <w:lang w:val="sq-AL"/>
        </w:rPr>
      </w:pPr>
      <w:r w:rsidRPr="00D8407F">
        <w:rPr>
          <w:lang w:val="sq-AL"/>
        </w:rPr>
        <w:t xml:space="preserve">Shërbimet e bëra </w:t>
      </w:r>
      <w:proofErr w:type="spellStart"/>
      <w:r w:rsidRPr="00D8407F">
        <w:rPr>
          <w:lang w:val="sq-AL"/>
        </w:rPr>
        <w:t>online</w:t>
      </w:r>
      <w:proofErr w:type="spellEnd"/>
      <w:r w:rsidRPr="00D8407F">
        <w:rPr>
          <w:lang w:val="sq-AL"/>
        </w:rPr>
        <w:t xml:space="preserve"> janë:</w:t>
      </w:r>
    </w:p>
    <w:p w14:paraId="55C11C8A" w14:textId="77777777" w:rsidR="008278AE" w:rsidRPr="00D8407F" w:rsidRDefault="008278AE" w:rsidP="008278AE">
      <w:pPr>
        <w:rPr>
          <w:lang w:val="sq-AL"/>
        </w:rPr>
      </w:pPr>
      <w:r w:rsidRPr="00D8407F">
        <w:rPr>
          <w:lang w:val="sq-AL"/>
        </w:rPr>
        <w:lastRenderedPageBreak/>
        <w:t>•</w:t>
      </w:r>
      <w:r w:rsidRPr="00D8407F">
        <w:rPr>
          <w:lang w:val="sq-AL"/>
        </w:rPr>
        <w:tab/>
        <w:t>Ndërrimi i emrit personal</w:t>
      </w:r>
    </w:p>
    <w:p w14:paraId="6C70AE46" w14:textId="77777777" w:rsidR="008278AE" w:rsidRPr="00D8407F" w:rsidRDefault="008278AE" w:rsidP="008278AE">
      <w:pPr>
        <w:rPr>
          <w:lang w:val="sq-AL"/>
        </w:rPr>
      </w:pPr>
      <w:r w:rsidRPr="00D8407F">
        <w:rPr>
          <w:lang w:val="sq-AL"/>
        </w:rPr>
        <w:t>•</w:t>
      </w:r>
      <w:r w:rsidRPr="00D8407F">
        <w:rPr>
          <w:lang w:val="sq-AL"/>
        </w:rPr>
        <w:tab/>
        <w:t>Ndërrimi i emrit personal për rastet e rikthimit të mbiemrit të vajzërisë/djalërisë pas shkurorëzimit</w:t>
      </w:r>
    </w:p>
    <w:p w14:paraId="39DAB2F5" w14:textId="77777777" w:rsidR="008278AE" w:rsidRPr="00D8407F" w:rsidRDefault="008278AE" w:rsidP="008278AE">
      <w:pPr>
        <w:rPr>
          <w:lang w:val="sq-AL"/>
        </w:rPr>
      </w:pPr>
      <w:r w:rsidRPr="00D8407F">
        <w:rPr>
          <w:lang w:val="sq-AL"/>
        </w:rPr>
        <w:t>•</w:t>
      </w:r>
      <w:r w:rsidRPr="00D8407F">
        <w:rPr>
          <w:lang w:val="sq-AL"/>
        </w:rPr>
        <w:tab/>
        <w:t>Korrigjimi i emrit personal</w:t>
      </w:r>
    </w:p>
    <w:p w14:paraId="161040D7" w14:textId="77777777" w:rsidR="008278AE" w:rsidRPr="00D8407F" w:rsidRDefault="008278AE" w:rsidP="008278AE">
      <w:pPr>
        <w:rPr>
          <w:lang w:val="sq-AL"/>
        </w:rPr>
      </w:pPr>
      <w:r w:rsidRPr="00D8407F">
        <w:rPr>
          <w:lang w:val="sq-AL"/>
        </w:rPr>
        <w:t>•</w:t>
      </w:r>
      <w:r w:rsidRPr="00D8407F">
        <w:rPr>
          <w:lang w:val="sq-AL"/>
        </w:rPr>
        <w:tab/>
        <w:t xml:space="preserve">Pëlqim për gërmim/dëmtim të rrugëve dhe sipërfaqeve të </w:t>
      </w:r>
      <w:proofErr w:type="spellStart"/>
      <w:r w:rsidRPr="00D8407F">
        <w:rPr>
          <w:lang w:val="sq-AL"/>
        </w:rPr>
        <w:t>gjelbërta</w:t>
      </w:r>
      <w:proofErr w:type="spellEnd"/>
    </w:p>
    <w:p w14:paraId="089437CC" w14:textId="77777777" w:rsidR="008278AE" w:rsidRPr="00D8407F" w:rsidRDefault="008278AE" w:rsidP="008278AE">
      <w:pPr>
        <w:rPr>
          <w:lang w:val="sq-AL"/>
        </w:rPr>
      </w:pPr>
      <w:r w:rsidRPr="00D8407F">
        <w:rPr>
          <w:lang w:val="sq-AL"/>
        </w:rPr>
        <w:t>•</w:t>
      </w:r>
      <w:r w:rsidRPr="00D8407F">
        <w:rPr>
          <w:lang w:val="sq-AL"/>
        </w:rPr>
        <w:tab/>
        <w:t>Taksa për gërmim/dëmtim të rrugëve me asfalt</w:t>
      </w:r>
    </w:p>
    <w:p w14:paraId="392D4FB9" w14:textId="77777777" w:rsidR="008278AE" w:rsidRPr="00D8407F" w:rsidRDefault="008278AE" w:rsidP="008278AE">
      <w:pPr>
        <w:rPr>
          <w:lang w:val="sq-AL"/>
        </w:rPr>
      </w:pPr>
      <w:r w:rsidRPr="00D8407F">
        <w:rPr>
          <w:lang w:val="sq-AL"/>
        </w:rPr>
        <w:t>•</w:t>
      </w:r>
      <w:r w:rsidRPr="00D8407F">
        <w:rPr>
          <w:lang w:val="sq-AL"/>
        </w:rPr>
        <w:tab/>
        <w:t>Leje për taksi individuale</w:t>
      </w:r>
    </w:p>
    <w:p w14:paraId="1A58320B" w14:textId="77777777" w:rsidR="008278AE" w:rsidRPr="00D8407F" w:rsidRDefault="008278AE" w:rsidP="008278AE">
      <w:pPr>
        <w:rPr>
          <w:lang w:val="sq-AL"/>
        </w:rPr>
      </w:pPr>
      <w:r w:rsidRPr="00D8407F">
        <w:rPr>
          <w:lang w:val="sq-AL"/>
        </w:rPr>
        <w:t>•</w:t>
      </w:r>
      <w:r w:rsidRPr="00D8407F">
        <w:rPr>
          <w:lang w:val="sq-AL"/>
        </w:rPr>
        <w:tab/>
        <w:t>Vazhdimi i lejes për taksi (pagesë vjetore)</w:t>
      </w:r>
    </w:p>
    <w:p w14:paraId="44848E90" w14:textId="77777777" w:rsidR="008278AE" w:rsidRPr="00D8407F" w:rsidRDefault="008278AE" w:rsidP="008278AE">
      <w:pPr>
        <w:rPr>
          <w:lang w:val="sq-AL"/>
        </w:rPr>
      </w:pPr>
      <w:r w:rsidRPr="00D8407F">
        <w:rPr>
          <w:lang w:val="sq-AL"/>
        </w:rPr>
        <w:t>•</w:t>
      </w:r>
      <w:r w:rsidRPr="00D8407F">
        <w:rPr>
          <w:lang w:val="sq-AL"/>
        </w:rPr>
        <w:tab/>
        <w:t xml:space="preserve">Vërtetimi dhe vazhdimi i rendeve të udhëtimit në transportin urban dhe </w:t>
      </w:r>
      <w:proofErr w:type="spellStart"/>
      <w:r w:rsidRPr="00D8407F">
        <w:rPr>
          <w:lang w:val="sq-AL"/>
        </w:rPr>
        <w:t>urbano</w:t>
      </w:r>
      <w:proofErr w:type="spellEnd"/>
      <w:r w:rsidRPr="00D8407F">
        <w:rPr>
          <w:lang w:val="sq-AL"/>
        </w:rPr>
        <w:t>-periferik</w:t>
      </w:r>
    </w:p>
    <w:p w14:paraId="2C5DF77D" w14:textId="77777777" w:rsidR="008278AE" w:rsidRPr="00D8407F" w:rsidRDefault="008278AE" w:rsidP="008278AE">
      <w:pPr>
        <w:rPr>
          <w:lang w:val="sq-AL"/>
        </w:rPr>
      </w:pPr>
      <w:r w:rsidRPr="00D8407F">
        <w:rPr>
          <w:lang w:val="sq-AL"/>
        </w:rPr>
        <w:t>•</w:t>
      </w:r>
      <w:r w:rsidRPr="00D8407F">
        <w:rPr>
          <w:lang w:val="sq-AL"/>
        </w:rPr>
        <w:tab/>
        <w:t>Leje për hyrje në shesh (vetëm për biznese)</w:t>
      </w:r>
    </w:p>
    <w:p w14:paraId="2BEC53B3" w14:textId="77777777" w:rsidR="008278AE" w:rsidRPr="00D8407F" w:rsidRDefault="008278AE" w:rsidP="008278AE">
      <w:pPr>
        <w:rPr>
          <w:lang w:val="sq-AL"/>
        </w:rPr>
      </w:pPr>
      <w:r w:rsidRPr="00D8407F">
        <w:rPr>
          <w:lang w:val="sq-AL"/>
        </w:rPr>
        <w:t>•</w:t>
      </w:r>
      <w:r w:rsidRPr="00D8407F">
        <w:rPr>
          <w:lang w:val="sq-AL"/>
        </w:rPr>
        <w:tab/>
        <w:t>Regjistrimi i pronësisë në bazë të titullit juridik të organeve administrative dhe gjyqësore</w:t>
      </w:r>
    </w:p>
    <w:p w14:paraId="2453B2FA" w14:textId="77777777" w:rsidR="008278AE" w:rsidRPr="00D8407F" w:rsidRDefault="008278AE" w:rsidP="008278AE">
      <w:pPr>
        <w:rPr>
          <w:lang w:val="sq-AL"/>
        </w:rPr>
      </w:pPr>
      <w:r w:rsidRPr="00D8407F">
        <w:rPr>
          <w:lang w:val="sq-AL"/>
        </w:rPr>
        <w:t>•</w:t>
      </w:r>
      <w:r w:rsidRPr="00D8407F">
        <w:rPr>
          <w:lang w:val="sq-AL"/>
        </w:rPr>
        <w:tab/>
        <w:t>Regjistrimi i pronësisë në bazë të transaksioneve</w:t>
      </w:r>
    </w:p>
    <w:p w14:paraId="3A05D618" w14:textId="77777777" w:rsidR="008278AE" w:rsidRPr="00D8407F" w:rsidRDefault="008278AE" w:rsidP="008278AE">
      <w:pPr>
        <w:rPr>
          <w:lang w:val="sq-AL"/>
        </w:rPr>
      </w:pPr>
      <w:r w:rsidRPr="00D8407F">
        <w:rPr>
          <w:lang w:val="sq-AL"/>
        </w:rPr>
        <w:t>•</w:t>
      </w:r>
      <w:r w:rsidRPr="00D8407F">
        <w:rPr>
          <w:lang w:val="sq-AL"/>
        </w:rPr>
        <w:tab/>
        <w:t>Regjistrimi i pronësisë në bazë të ndërrimit/këmbimit të pronës së paluajtshme</w:t>
      </w:r>
    </w:p>
    <w:p w14:paraId="0CF3362E" w14:textId="77777777" w:rsidR="008278AE" w:rsidRPr="00D8407F" w:rsidRDefault="008278AE" w:rsidP="008278AE">
      <w:pPr>
        <w:rPr>
          <w:lang w:val="sq-AL"/>
        </w:rPr>
      </w:pPr>
      <w:r w:rsidRPr="00D8407F">
        <w:rPr>
          <w:lang w:val="sq-AL"/>
        </w:rPr>
        <w:t>•</w:t>
      </w:r>
      <w:r w:rsidRPr="00D8407F">
        <w:rPr>
          <w:lang w:val="sq-AL"/>
        </w:rPr>
        <w:tab/>
        <w:t>Përcaktimi i kufijve të parcelave</w:t>
      </w:r>
    </w:p>
    <w:p w14:paraId="697245EB" w14:textId="77777777" w:rsidR="008278AE" w:rsidRPr="00D8407F" w:rsidRDefault="008278AE" w:rsidP="008278AE">
      <w:pPr>
        <w:rPr>
          <w:lang w:val="sq-AL"/>
        </w:rPr>
      </w:pPr>
      <w:r w:rsidRPr="00D8407F">
        <w:rPr>
          <w:lang w:val="sq-AL"/>
        </w:rPr>
        <w:t>•</w:t>
      </w:r>
      <w:r w:rsidRPr="00D8407F">
        <w:rPr>
          <w:lang w:val="sq-AL"/>
        </w:rPr>
        <w:tab/>
        <w:t>Bashkimi i parcelave</w:t>
      </w:r>
    </w:p>
    <w:p w14:paraId="5FF145F3" w14:textId="77777777" w:rsidR="008278AE" w:rsidRPr="00D8407F" w:rsidRDefault="008278AE" w:rsidP="008278AE">
      <w:pPr>
        <w:rPr>
          <w:lang w:val="sq-AL"/>
        </w:rPr>
      </w:pPr>
      <w:r w:rsidRPr="00D8407F">
        <w:rPr>
          <w:lang w:val="sq-AL"/>
        </w:rPr>
        <w:t>•</w:t>
      </w:r>
      <w:r w:rsidRPr="00D8407F">
        <w:rPr>
          <w:lang w:val="sq-AL"/>
        </w:rPr>
        <w:tab/>
        <w:t>Regjistrimi dhe modifikimi i servitutit</w:t>
      </w:r>
    </w:p>
    <w:p w14:paraId="4615659A" w14:textId="77777777" w:rsidR="008278AE" w:rsidRPr="00D8407F" w:rsidRDefault="008278AE" w:rsidP="008278AE">
      <w:pPr>
        <w:rPr>
          <w:lang w:val="sq-AL"/>
        </w:rPr>
      </w:pPr>
      <w:r w:rsidRPr="00D8407F">
        <w:rPr>
          <w:lang w:val="sq-AL"/>
        </w:rPr>
        <w:t>•</w:t>
      </w:r>
      <w:r w:rsidRPr="00D8407F">
        <w:rPr>
          <w:lang w:val="sq-AL"/>
        </w:rPr>
        <w:tab/>
        <w:t>Fshirja e servitutit</w:t>
      </w:r>
    </w:p>
    <w:p w14:paraId="3DE7951E" w14:textId="77777777" w:rsidR="008278AE" w:rsidRPr="00D8407F" w:rsidRDefault="008278AE" w:rsidP="008278AE">
      <w:pPr>
        <w:rPr>
          <w:lang w:val="sq-AL"/>
        </w:rPr>
      </w:pPr>
      <w:r w:rsidRPr="00D8407F">
        <w:rPr>
          <w:lang w:val="sq-AL"/>
        </w:rPr>
        <w:t>•</w:t>
      </w:r>
      <w:r w:rsidRPr="00D8407F">
        <w:rPr>
          <w:lang w:val="sq-AL"/>
        </w:rPr>
        <w:tab/>
        <w:t xml:space="preserve">Regjistrimi i së drejtës së shfrytëzimit – </w:t>
      </w:r>
      <w:proofErr w:type="spellStart"/>
      <w:r w:rsidRPr="00D8407F">
        <w:rPr>
          <w:lang w:val="sq-AL"/>
        </w:rPr>
        <w:t>qirambajtjes</w:t>
      </w:r>
      <w:proofErr w:type="spellEnd"/>
    </w:p>
    <w:p w14:paraId="7850875F" w14:textId="77777777" w:rsidR="008278AE" w:rsidRPr="00D8407F" w:rsidRDefault="008278AE" w:rsidP="008278AE">
      <w:pPr>
        <w:rPr>
          <w:lang w:val="sq-AL"/>
        </w:rPr>
      </w:pPr>
      <w:r w:rsidRPr="00D8407F">
        <w:rPr>
          <w:lang w:val="sq-AL"/>
        </w:rPr>
        <w:t>•</w:t>
      </w:r>
      <w:r w:rsidRPr="00D8407F">
        <w:rPr>
          <w:lang w:val="sq-AL"/>
        </w:rPr>
        <w:tab/>
        <w:t>Identifikimi i parcelave</w:t>
      </w:r>
    </w:p>
    <w:p w14:paraId="446641CB" w14:textId="77777777" w:rsidR="008278AE" w:rsidRPr="00D8407F" w:rsidRDefault="008278AE" w:rsidP="008278AE">
      <w:pPr>
        <w:rPr>
          <w:lang w:val="sq-AL"/>
        </w:rPr>
      </w:pPr>
      <w:r w:rsidRPr="00D8407F">
        <w:rPr>
          <w:lang w:val="sq-AL"/>
        </w:rPr>
        <w:t>•</w:t>
      </w:r>
      <w:r w:rsidRPr="00D8407F">
        <w:rPr>
          <w:lang w:val="sq-AL"/>
        </w:rPr>
        <w:tab/>
        <w:t xml:space="preserve">Korrigjimi i të dhënave </w:t>
      </w:r>
      <w:proofErr w:type="spellStart"/>
      <w:r w:rsidRPr="00D8407F">
        <w:rPr>
          <w:lang w:val="sq-AL"/>
        </w:rPr>
        <w:t>kadastrale</w:t>
      </w:r>
      <w:proofErr w:type="spellEnd"/>
    </w:p>
    <w:p w14:paraId="21F6F35F" w14:textId="77777777" w:rsidR="008278AE" w:rsidRPr="00D8407F" w:rsidRDefault="008278AE" w:rsidP="008278AE">
      <w:pPr>
        <w:rPr>
          <w:lang w:val="sq-AL"/>
        </w:rPr>
      </w:pPr>
      <w:r w:rsidRPr="00D8407F">
        <w:rPr>
          <w:lang w:val="sq-AL"/>
        </w:rPr>
        <w:lastRenderedPageBreak/>
        <w:t>•</w:t>
      </w:r>
      <w:r w:rsidRPr="00D8407F">
        <w:rPr>
          <w:lang w:val="sq-AL"/>
        </w:rPr>
        <w:tab/>
        <w:t xml:space="preserve">Lëshimi i të dhënave </w:t>
      </w:r>
      <w:proofErr w:type="spellStart"/>
      <w:r w:rsidRPr="00D8407F">
        <w:rPr>
          <w:lang w:val="sq-AL"/>
        </w:rPr>
        <w:t>kadastrale</w:t>
      </w:r>
      <w:proofErr w:type="spellEnd"/>
      <w:r w:rsidRPr="00D8407F">
        <w:rPr>
          <w:lang w:val="sq-AL"/>
        </w:rPr>
        <w:t xml:space="preserve"> në formë digjitale</w:t>
      </w:r>
    </w:p>
    <w:p w14:paraId="19E34933" w14:textId="77777777" w:rsidR="008278AE" w:rsidRPr="00D8407F" w:rsidRDefault="008278AE" w:rsidP="008278AE">
      <w:pPr>
        <w:rPr>
          <w:lang w:val="sq-AL"/>
        </w:rPr>
      </w:pPr>
      <w:r w:rsidRPr="00D8407F">
        <w:rPr>
          <w:lang w:val="sq-AL"/>
        </w:rPr>
        <w:t>•</w:t>
      </w:r>
      <w:r w:rsidRPr="00D8407F">
        <w:rPr>
          <w:lang w:val="sq-AL"/>
        </w:rPr>
        <w:tab/>
        <w:t>Regjistrimi i pronësisë në bazë të kontratës mbi mbajtjen e përjetshme</w:t>
      </w:r>
    </w:p>
    <w:p w14:paraId="3F7BDA28" w14:textId="77777777" w:rsidR="008278AE" w:rsidRPr="00D8407F" w:rsidRDefault="008278AE" w:rsidP="008278AE">
      <w:pPr>
        <w:rPr>
          <w:lang w:val="sq-AL"/>
        </w:rPr>
      </w:pPr>
      <w:r w:rsidRPr="00D8407F">
        <w:rPr>
          <w:lang w:val="sq-AL"/>
        </w:rPr>
        <w:t>•</w:t>
      </w:r>
      <w:r w:rsidRPr="00D8407F">
        <w:rPr>
          <w:lang w:val="sq-AL"/>
        </w:rPr>
        <w:tab/>
        <w:t>Regjistrimi i bashkëpronësisë apo pronësisë së përbashkët</w:t>
      </w:r>
    </w:p>
    <w:p w14:paraId="0D6D05F4" w14:textId="77777777" w:rsidR="008278AE" w:rsidRPr="00D8407F" w:rsidRDefault="008278AE" w:rsidP="008278AE">
      <w:pPr>
        <w:rPr>
          <w:lang w:val="sq-AL"/>
        </w:rPr>
      </w:pPr>
      <w:r w:rsidRPr="00D8407F">
        <w:rPr>
          <w:lang w:val="sq-AL"/>
        </w:rPr>
        <w:t>•</w:t>
      </w:r>
      <w:r w:rsidRPr="00D8407F">
        <w:rPr>
          <w:lang w:val="sq-AL"/>
        </w:rPr>
        <w:tab/>
        <w:t>Ndërrimi i kulturave të parcelave</w:t>
      </w:r>
    </w:p>
    <w:p w14:paraId="2A8A17D1" w14:textId="77777777" w:rsidR="008278AE" w:rsidRPr="00D8407F" w:rsidRDefault="008278AE" w:rsidP="008278AE">
      <w:pPr>
        <w:rPr>
          <w:lang w:val="sq-AL"/>
        </w:rPr>
      </w:pPr>
      <w:r w:rsidRPr="00D8407F">
        <w:rPr>
          <w:lang w:val="sq-AL"/>
        </w:rPr>
        <w:t>•</w:t>
      </w:r>
      <w:r w:rsidRPr="00D8407F">
        <w:rPr>
          <w:lang w:val="sq-AL"/>
        </w:rPr>
        <w:tab/>
        <w:t xml:space="preserve">Historiku për njësinë </w:t>
      </w:r>
      <w:proofErr w:type="spellStart"/>
      <w:r w:rsidRPr="00D8407F">
        <w:rPr>
          <w:lang w:val="sq-AL"/>
        </w:rPr>
        <w:t>kadastrale</w:t>
      </w:r>
      <w:proofErr w:type="spellEnd"/>
    </w:p>
    <w:p w14:paraId="0EC06CEB" w14:textId="77777777" w:rsidR="008278AE" w:rsidRPr="00D8407F" w:rsidRDefault="008278AE" w:rsidP="008278AE">
      <w:pPr>
        <w:rPr>
          <w:lang w:val="sq-AL"/>
        </w:rPr>
      </w:pPr>
      <w:r w:rsidRPr="00D8407F">
        <w:rPr>
          <w:lang w:val="sq-AL"/>
        </w:rPr>
        <w:t>•</w:t>
      </w:r>
      <w:r w:rsidRPr="00D8407F">
        <w:rPr>
          <w:lang w:val="sq-AL"/>
        </w:rPr>
        <w:tab/>
        <w:t>Kopja e planit</w:t>
      </w:r>
    </w:p>
    <w:p w14:paraId="071F2B7F" w14:textId="77777777" w:rsidR="008278AE" w:rsidRPr="00D8407F" w:rsidRDefault="008278AE" w:rsidP="008278AE">
      <w:pPr>
        <w:rPr>
          <w:lang w:val="sq-AL"/>
        </w:rPr>
      </w:pPr>
      <w:r w:rsidRPr="00D8407F">
        <w:rPr>
          <w:lang w:val="sq-AL"/>
        </w:rPr>
        <w:t>•</w:t>
      </w:r>
      <w:r w:rsidRPr="00D8407F">
        <w:rPr>
          <w:lang w:val="sq-AL"/>
        </w:rPr>
        <w:tab/>
        <w:t>Certifikata e pronësisë</w:t>
      </w:r>
    </w:p>
    <w:p w14:paraId="51D45C7C" w14:textId="77777777" w:rsidR="008278AE" w:rsidRPr="00D8407F" w:rsidRDefault="008278AE" w:rsidP="008278AE">
      <w:pPr>
        <w:rPr>
          <w:lang w:val="sq-AL"/>
        </w:rPr>
      </w:pPr>
      <w:r w:rsidRPr="00D8407F">
        <w:rPr>
          <w:lang w:val="sq-AL"/>
        </w:rPr>
        <w:t>•</w:t>
      </w:r>
      <w:r w:rsidRPr="00D8407F">
        <w:rPr>
          <w:lang w:val="sq-AL"/>
        </w:rPr>
        <w:tab/>
        <w:t>Vërtetim që personi nuk është nën kujdestari (për punësim dhe aplikim në Odën e Avokatëve)</w:t>
      </w:r>
    </w:p>
    <w:p w14:paraId="5AECE779" w14:textId="77777777" w:rsidR="008278AE" w:rsidRPr="00D8407F" w:rsidRDefault="008278AE" w:rsidP="008278AE">
      <w:pPr>
        <w:rPr>
          <w:lang w:val="sq-AL"/>
        </w:rPr>
      </w:pPr>
      <w:r w:rsidRPr="00D8407F">
        <w:rPr>
          <w:lang w:val="sq-AL"/>
        </w:rPr>
        <w:t>•</w:t>
      </w:r>
      <w:r w:rsidRPr="00D8407F">
        <w:rPr>
          <w:lang w:val="sq-AL"/>
        </w:rPr>
        <w:tab/>
        <w:t>Vërtetim që personi nuk merr ndihmë sociale</w:t>
      </w:r>
    </w:p>
    <w:p w14:paraId="4D78F269" w14:textId="77777777" w:rsidR="008278AE" w:rsidRPr="00D8407F" w:rsidRDefault="008278AE" w:rsidP="008278AE">
      <w:pPr>
        <w:rPr>
          <w:lang w:val="sq-AL"/>
        </w:rPr>
      </w:pPr>
      <w:r w:rsidRPr="00D8407F">
        <w:rPr>
          <w:lang w:val="sq-AL"/>
        </w:rPr>
        <w:t>•</w:t>
      </w:r>
      <w:r w:rsidRPr="00D8407F">
        <w:rPr>
          <w:lang w:val="sq-AL"/>
        </w:rPr>
        <w:tab/>
        <w:t>Aplikimi për ndarjen e subvencioneve për Kulturë, Rini dhe Sport</w:t>
      </w:r>
    </w:p>
    <w:p w14:paraId="33F87DBD" w14:textId="77777777" w:rsidR="008278AE" w:rsidRPr="00D8407F" w:rsidRDefault="008278AE" w:rsidP="008278AE">
      <w:pPr>
        <w:rPr>
          <w:lang w:val="sq-AL"/>
        </w:rPr>
      </w:pPr>
      <w:r w:rsidRPr="00D8407F">
        <w:rPr>
          <w:lang w:val="sq-AL"/>
        </w:rPr>
        <w:t>•</w:t>
      </w:r>
      <w:r w:rsidRPr="00D8407F">
        <w:rPr>
          <w:lang w:val="sq-AL"/>
        </w:rPr>
        <w:tab/>
        <w:t>Leje mjedisore</w:t>
      </w:r>
    </w:p>
    <w:p w14:paraId="5EFC7C19" w14:textId="77777777" w:rsidR="008278AE" w:rsidRPr="00D8407F" w:rsidRDefault="008278AE" w:rsidP="008278AE">
      <w:pPr>
        <w:rPr>
          <w:lang w:val="sq-AL"/>
        </w:rPr>
      </w:pPr>
      <w:r w:rsidRPr="00D8407F">
        <w:rPr>
          <w:lang w:val="sq-AL"/>
        </w:rPr>
        <w:t>Gjatë vitit 2025, Zyra ka organizuar konsultime publike, takime publike, dëgjime buxhetore dhe takime buxhetore me pjesëmarrje aktive të qytetarëve.</w:t>
      </w:r>
    </w:p>
    <w:p w14:paraId="1731AD04" w14:textId="77777777" w:rsidR="008278AE" w:rsidRPr="00D8407F" w:rsidRDefault="008278AE" w:rsidP="008278AE">
      <w:pPr>
        <w:rPr>
          <w:lang w:val="sq-AL"/>
        </w:rPr>
      </w:pPr>
      <w:r w:rsidRPr="00D8407F">
        <w:rPr>
          <w:lang w:val="sq-AL"/>
        </w:rPr>
        <w:t>Janë mbajtur konsultimet publike si në vijim:</w:t>
      </w:r>
    </w:p>
    <w:p w14:paraId="67C73570" w14:textId="77777777" w:rsidR="008278AE" w:rsidRPr="00D8407F" w:rsidRDefault="008278AE" w:rsidP="008278AE">
      <w:pPr>
        <w:rPr>
          <w:lang w:val="sq-AL"/>
        </w:rPr>
      </w:pPr>
      <w:r w:rsidRPr="00D8407F">
        <w:rPr>
          <w:lang w:val="sq-AL"/>
        </w:rPr>
        <w:t>•</w:t>
      </w:r>
      <w:r w:rsidRPr="00D8407F">
        <w:rPr>
          <w:lang w:val="sq-AL"/>
        </w:rPr>
        <w:tab/>
        <w:t>Konsultim publik për Draft-Rregulloren për Transparencë të Komunës së Ferizajt dhe Draft-Planin e Veprimit për Transparencë Komunale 2025–2028</w:t>
      </w:r>
    </w:p>
    <w:p w14:paraId="6059F25C" w14:textId="77777777" w:rsidR="008278AE" w:rsidRPr="00D8407F" w:rsidRDefault="008278AE" w:rsidP="008278AE">
      <w:pPr>
        <w:rPr>
          <w:lang w:val="sq-AL"/>
        </w:rPr>
      </w:pPr>
      <w:r w:rsidRPr="00D8407F">
        <w:rPr>
          <w:lang w:val="sq-AL"/>
        </w:rPr>
        <w:t>•</w:t>
      </w:r>
      <w:r w:rsidRPr="00D8407F">
        <w:rPr>
          <w:lang w:val="sq-AL"/>
        </w:rPr>
        <w:tab/>
        <w:t xml:space="preserve">Konsultim publik për Draft-Vlerësimin Strategjik Mjedisor (VSM) dhe Draft-Planin </w:t>
      </w:r>
      <w:proofErr w:type="spellStart"/>
      <w:r w:rsidRPr="00D8407F">
        <w:rPr>
          <w:lang w:val="sq-AL"/>
        </w:rPr>
        <w:t>Ndërkomunal</w:t>
      </w:r>
      <w:proofErr w:type="spellEnd"/>
      <w:r w:rsidRPr="00D8407F">
        <w:rPr>
          <w:lang w:val="sq-AL"/>
        </w:rPr>
        <w:t xml:space="preserve"> për Menaxhimin e Integruar të Mbeturinave për regjionin e Gjilanit dhe Ferizajt</w:t>
      </w:r>
    </w:p>
    <w:p w14:paraId="75B3AA1B" w14:textId="77777777" w:rsidR="008278AE" w:rsidRPr="00D8407F" w:rsidRDefault="008278AE" w:rsidP="008278AE">
      <w:pPr>
        <w:rPr>
          <w:lang w:val="sq-AL"/>
        </w:rPr>
      </w:pPr>
      <w:r w:rsidRPr="00D8407F">
        <w:rPr>
          <w:lang w:val="sq-AL"/>
        </w:rPr>
        <w:t>•</w:t>
      </w:r>
      <w:r w:rsidRPr="00D8407F">
        <w:rPr>
          <w:lang w:val="sq-AL"/>
        </w:rPr>
        <w:tab/>
        <w:t>Konsultim publik për Projekt-Rregulloren për ushtrimin e veprimtarisë së transportit të udhëtarëve me taksi</w:t>
      </w:r>
    </w:p>
    <w:p w14:paraId="0891C33A" w14:textId="77777777" w:rsidR="008278AE" w:rsidRPr="00D8407F" w:rsidRDefault="008278AE" w:rsidP="008278AE">
      <w:pPr>
        <w:rPr>
          <w:lang w:val="sq-AL"/>
        </w:rPr>
      </w:pPr>
      <w:r w:rsidRPr="00D8407F">
        <w:rPr>
          <w:lang w:val="sq-AL"/>
        </w:rPr>
        <w:lastRenderedPageBreak/>
        <w:t>•</w:t>
      </w:r>
      <w:r w:rsidRPr="00D8407F">
        <w:rPr>
          <w:lang w:val="sq-AL"/>
        </w:rPr>
        <w:tab/>
        <w:t>Konsultim publik për Projekt-Planin Lokal të Veprimit për Barazi Gjinore 2024–2026</w:t>
      </w:r>
    </w:p>
    <w:p w14:paraId="5AFB2D75" w14:textId="77777777" w:rsidR="008278AE" w:rsidRPr="00D8407F" w:rsidRDefault="008278AE" w:rsidP="008278AE">
      <w:pPr>
        <w:rPr>
          <w:lang w:val="sq-AL"/>
        </w:rPr>
      </w:pPr>
      <w:r w:rsidRPr="00D8407F">
        <w:rPr>
          <w:lang w:val="sq-AL"/>
        </w:rPr>
        <w:t>Gjatë vitit 2025 janë mbajtur gjithsej 9 dëgjime publike për përgatitjen e buxhetit të Komunës për vitin 2025, të zhvilluara në sallën e Kuvendit të Komunës, me grupe të ndryshme të interesit, si dhe 3 takime buxhetore shtesë në Komunën e Ferizajt.</w:t>
      </w:r>
    </w:p>
    <w:p w14:paraId="710BD3D8" w14:textId="77777777" w:rsidR="008278AE" w:rsidRPr="00D8407F" w:rsidRDefault="008278AE" w:rsidP="008278AE">
      <w:pPr>
        <w:rPr>
          <w:lang w:val="sq-AL"/>
        </w:rPr>
      </w:pPr>
      <w:r w:rsidRPr="00D8407F">
        <w:rPr>
          <w:lang w:val="sq-AL"/>
        </w:rPr>
        <w:t>Janë organizuar gjithashtu dy takime publike me qytetarë, ku Kryetari i Komunës së Ferizajt, z. Agim Aliu, ka raportuar për punën gjashtëmujore dhe njëvjeçare të Komunës, si dhe ka prezantuar Kornizën Afatmesme Buxhetore 2025–2027. Po ashtu, është mbajtur edhe një takim publik me qytetarë lidhur me një zonë turistike në fshatin Varosh.</w:t>
      </w:r>
    </w:p>
    <w:p w14:paraId="6DCAE659" w14:textId="77777777" w:rsidR="008278AE" w:rsidRPr="00D8407F" w:rsidRDefault="008278AE" w:rsidP="008278AE">
      <w:pPr>
        <w:rPr>
          <w:lang w:val="sq-AL"/>
        </w:rPr>
      </w:pPr>
      <w:r w:rsidRPr="00D8407F">
        <w:rPr>
          <w:lang w:val="sq-AL"/>
        </w:rPr>
        <w:t xml:space="preserve">Të gjitha dokumentet dhe materialet relevante, përfshirë mbledhjet e Kuvendit, procesverbalet, vendimet, marrëveshjet institucionale, raportet financiare, shpenzimet buxhetore, planet, konkurset, njoftimet, ankandet publike, listat e përfituesve të subvencioneve dhe projektet e realizuara apo në planifikim, janë të qasshme për publikun në </w:t>
      </w:r>
      <w:proofErr w:type="spellStart"/>
      <w:r w:rsidRPr="00D8407F">
        <w:rPr>
          <w:lang w:val="sq-AL"/>
        </w:rPr>
        <w:t>uebfaqen</w:t>
      </w:r>
      <w:proofErr w:type="spellEnd"/>
      <w:r w:rsidRPr="00D8407F">
        <w:rPr>
          <w:lang w:val="sq-AL"/>
        </w:rPr>
        <w:t xml:space="preserve"> zyrtare të Komunës së Ferizajt.</w:t>
      </w:r>
    </w:p>
    <w:p w14:paraId="1BF3DF4B" w14:textId="77777777" w:rsidR="008278AE" w:rsidRPr="00D8407F" w:rsidRDefault="008278AE" w:rsidP="008278AE">
      <w:pPr>
        <w:rPr>
          <w:lang w:val="sq-AL"/>
        </w:rPr>
      </w:pPr>
      <w:r w:rsidRPr="00D8407F">
        <w:rPr>
          <w:lang w:val="sq-AL"/>
        </w:rPr>
        <w:t>Gjatë vitit 2025, zyrtarët e Teknologjisë së Informacionit (IT) kanë qenë përgjegjës për administrimin, mirëmbajtjen dhe funksionimin e infrastrukturës së IT-së për mbi 300 përdorues dhe pajisje në objekte të ndryshme komunale. Është ofruar mbështetje teknike ditore për stafin komunal dhe është realizuar me sukses përditësimi i pajisjeve nga Windows 10 në Windows 11.</w:t>
      </w:r>
    </w:p>
    <w:p w14:paraId="75C9F691" w14:textId="77777777" w:rsidR="008278AE" w:rsidRPr="00D8407F" w:rsidRDefault="008278AE" w:rsidP="008278AE">
      <w:pPr>
        <w:rPr>
          <w:lang w:val="sq-AL"/>
        </w:rPr>
      </w:pPr>
      <w:r w:rsidRPr="00D8407F">
        <w:rPr>
          <w:lang w:val="sq-AL"/>
        </w:rPr>
        <w:t xml:space="preserve">Po ashtu, është rritur ndjeshëm siguria kibernetike përmes zbatimit të udhëzimeve të ASHI-t, si dhe është realizuar transmetimi </w:t>
      </w:r>
      <w:proofErr w:type="spellStart"/>
      <w:r w:rsidRPr="00D8407F">
        <w:rPr>
          <w:lang w:val="sq-AL"/>
        </w:rPr>
        <w:t>live</w:t>
      </w:r>
      <w:proofErr w:type="spellEnd"/>
      <w:r w:rsidRPr="00D8407F">
        <w:rPr>
          <w:lang w:val="sq-AL"/>
        </w:rPr>
        <w:t xml:space="preserve"> në </w:t>
      </w:r>
      <w:proofErr w:type="spellStart"/>
      <w:r w:rsidRPr="00D8407F">
        <w:rPr>
          <w:lang w:val="sq-AL"/>
        </w:rPr>
        <w:t>YouTube</w:t>
      </w:r>
      <w:proofErr w:type="spellEnd"/>
      <w:r w:rsidRPr="00D8407F">
        <w:rPr>
          <w:lang w:val="sq-AL"/>
        </w:rPr>
        <w:t xml:space="preserve"> i të gjitha mbledhjeve të Kuvendit Komunal.</w:t>
      </w:r>
    </w:p>
    <w:p w14:paraId="60050CF6" w14:textId="77777777" w:rsidR="008278AE" w:rsidRPr="00D8407F" w:rsidRDefault="008278AE" w:rsidP="008278AE">
      <w:pPr>
        <w:rPr>
          <w:lang w:val="sq-AL"/>
        </w:rPr>
      </w:pPr>
      <w:r w:rsidRPr="00D8407F">
        <w:rPr>
          <w:lang w:val="sq-AL"/>
        </w:rPr>
        <w:t>Në kuadër të sektorit funksionojnë edhe përkthyesit e gjuhës serbe dhe angleze. Gjatë vitit 2025 janë përkthyer gjithsej 2052 faqe në gjuhën serbe dhe 216 faqe në gjuhën angleze, duke përfshirë dokumente strategjike, ligjore, financiare dhe administrative.</w:t>
      </w:r>
    </w:p>
    <w:p w14:paraId="3CCF35F9" w14:textId="77777777" w:rsidR="008278AE" w:rsidRPr="00D8407F" w:rsidRDefault="008278AE" w:rsidP="008278AE">
      <w:pPr>
        <w:rPr>
          <w:lang w:val="sq-AL"/>
        </w:rPr>
      </w:pPr>
      <w:r w:rsidRPr="00D8407F">
        <w:rPr>
          <w:lang w:val="sq-AL"/>
        </w:rPr>
        <w:t xml:space="preserve">Synimet për vitin 2026 përfshijnë krijimin e lehtësirave të reja teknologjike për qasje më të shpejtë në informacione, rritjen e dukshmërisë së </w:t>
      </w:r>
      <w:proofErr w:type="spellStart"/>
      <w:r w:rsidRPr="00D8407F">
        <w:rPr>
          <w:lang w:val="sq-AL"/>
        </w:rPr>
        <w:t>uebfaqes</w:t>
      </w:r>
      <w:proofErr w:type="spellEnd"/>
      <w:r w:rsidRPr="00D8407F">
        <w:rPr>
          <w:lang w:val="sq-AL"/>
        </w:rPr>
        <w:t xml:space="preserve"> zyrtare, forcimin e kapaciteteve njerëzore dhe përdorimin e zgjeruar të kanaleve alternative të komunikimit me qytetarët.</w:t>
      </w:r>
    </w:p>
    <w:p w14:paraId="15EABF69" w14:textId="4C73ADAA" w:rsidR="00516DC8" w:rsidRPr="00D8407F" w:rsidRDefault="008C3EB7" w:rsidP="008278AE">
      <w:pPr>
        <w:rPr>
          <w:lang w:val="sq-AL"/>
        </w:rPr>
      </w:pPr>
      <w:r w:rsidRPr="00D8407F">
        <w:rPr>
          <w:lang w:val="sq-AL"/>
        </w:rPr>
        <w:t xml:space="preserve"> </w:t>
      </w:r>
    </w:p>
    <w:sectPr w:rsidR="00516DC8" w:rsidRPr="00D8407F" w:rsidSect="008918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D68C7" w14:textId="77777777" w:rsidR="00FA3C84" w:rsidRDefault="00FA3C84" w:rsidP="00202C4C">
      <w:pPr>
        <w:spacing w:after="0" w:line="240" w:lineRule="auto"/>
      </w:pPr>
      <w:r>
        <w:separator/>
      </w:r>
    </w:p>
  </w:endnote>
  <w:endnote w:type="continuationSeparator" w:id="0">
    <w:p w14:paraId="3765CCBB" w14:textId="77777777" w:rsidR="00FA3C84" w:rsidRDefault="00FA3C84" w:rsidP="0020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D1540" w14:textId="77777777" w:rsidR="00FA3C84" w:rsidRDefault="00FA3C84" w:rsidP="00202C4C">
      <w:pPr>
        <w:spacing w:after="0" w:line="240" w:lineRule="auto"/>
      </w:pPr>
      <w:r>
        <w:separator/>
      </w:r>
    </w:p>
  </w:footnote>
  <w:footnote w:type="continuationSeparator" w:id="0">
    <w:p w14:paraId="38191164" w14:textId="77777777" w:rsidR="00FA3C84" w:rsidRDefault="00FA3C84" w:rsidP="0020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610A" w14:textId="77777777" w:rsidR="00425010" w:rsidRDefault="00425010" w:rsidP="001E79EC">
    <w:pPr>
      <w:pStyle w:val="Header"/>
    </w:pPr>
  </w:p>
  <w:p w14:paraId="723DBF56" w14:textId="77777777" w:rsidR="00425010" w:rsidRDefault="00425010" w:rsidP="001E79EC">
    <w:pPr>
      <w:pStyle w:val="Header"/>
    </w:pPr>
  </w:p>
  <w:p w14:paraId="111D7E8C" w14:textId="77777777" w:rsidR="00425010" w:rsidRDefault="00425010" w:rsidP="001E79EC">
    <w:pPr>
      <w:pStyle w:val="Header"/>
    </w:pPr>
  </w:p>
  <w:p w14:paraId="3179D4D5" w14:textId="77777777" w:rsidR="00425010" w:rsidRDefault="00425010" w:rsidP="001E79EC">
    <w:pPr>
      <w:pStyle w:val="Header"/>
    </w:pPr>
  </w:p>
  <w:p w14:paraId="4AD8298E" w14:textId="77777777" w:rsidR="001E79EC" w:rsidRDefault="001E79EC">
    <w:pPr>
      <w:pStyle w:val="Header"/>
    </w:pPr>
  </w:p>
  <w:p w14:paraId="61BF091F" w14:textId="77777777" w:rsidR="001E79EC" w:rsidRDefault="001E79EC">
    <w:pPr>
      <w:pStyle w:val="Header"/>
    </w:pPr>
  </w:p>
  <w:p w14:paraId="78CDD09C" w14:textId="77777777" w:rsidR="001E79EC" w:rsidRDefault="001E79EC">
    <w:pPr>
      <w:pStyle w:val="Header"/>
    </w:pPr>
  </w:p>
  <w:p w14:paraId="0AC8F586" w14:textId="77777777" w:rsidR="00202C4C" w:rsidRDefault="00451E3D">
    <w:pPr>
      <w:pStyle w:val="Header"/>
    </w:pPr>
    <w:r>
      <w:rPr>
        <w:noProof/>
        <w:lang w:val="sq-AL" w:eastAsia="sq-AL"/>
      </w:rPr>
      <w:drawing>
        <wp:inline distT="0" distB="0" distL="0" distR="0" wp14:anchorId="4BAAC670" wp14:editId="718B8EBA">
          <wp:extent cx="5934075" cy="1752600"/>
          <wp:effectExtent l="0" t="0" r="9525" b="0"/>
          <wp:docPr id="1" name="Picture 1" descr="ZYRA-KABINETI I KRYETAR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YRA-KABINETI I KRYETARI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75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2769"/>
    <w:multiLevelType w:val="hybridMultilevel"/>
    <w:tmpl w:val="FBA6979C"/>
    <w:lvl w:ilvl="0" w:tplc="4A9480A6">
      <w:numFmt w:val="bullet"/>
      <w:lvlText w:val="-"/>
      <w:lvlJc w:val="left"/>
      <w:pPr>
        <w:ind w:left="720" w:hanging="360"/>
      </w:pPr>
      <w:rPr>
        <w:rFonts w:ascii="Book Antiqua" w:eastAsiaTheme="minorHAnsi" w:hAnsi="Book Antiqua"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 w15:restartNumberingAfterBreak="0">
    <w:nsid w:val="2D6E20F9"/>
    <w:multiLevelType w:val="multilevel"/>
    <w:tmpl w:val="527A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B2291"/>
    <w:multiLevelType w:val="hybridMultilevel"/>
    <w:tmpl w:val="4C82ABAC"/>
    <w:lvl w:ilvl="0" w:tplc="BE08C66A">
      <w:start w:val="1"/>
      <w:numFmt w:val="bullet"/>
      <w:lvlText w:val="-"/>
      <w:lvlJc w:val="left"/>
      <w:pPr>
        <w:ind w:left="720" w:hanging="360"/>
      </w:pPr>
      <w:rPr>
        <w:rFonts w:ascii="Book Antiqua" w:eastAsiaTheme="minorHAnsi" w:hAnsi="Book Antiqua" w:cs="Times New Roman" w:hint="default"/>
        <w:b w:val="0"/>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43C81643"/>
    <w:multiLevelType w:val="multilevel"/>
    <w:tmpl w:val="AE62980A"/>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Book Antiqua" w:eastAsia="Times New Roman" w:hAnsi="Book Antiqu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73F50"/>
    <w:multiLevelType w:val="hybridMultilevel"/>
    <w:tmpl w:val="B7E20CEC"/>
    <w:lvl w:ilvl="0" w:tplc="828E13EC">
      <w:numFmt w:val="bullet"/>
      <w:lvlText w:val="-"/>
      <w:lvlJc w:val="left"/>
      <w:pPr>
        <w:ind w:left="720" w:hanging="360"/>
      </w:pPr>
      <w:rPr>
        <w:rFonts w:ascii="Book Antiqua" w:eastAsiaTheme="minorHAnsi"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4C"/>
    <w:rsid w:val="000010A4"/>
    <w:rsid w:val="00003F1C"/>
    <w:rsid w:val="00044C43"/>
    <w:rsid w:val="00044E52"/>
    <w:rsid w:val="00061662"/>
    <w:rsid w:val="00063A91"/>
    <w:rsid w:val="000A700C"/>
    <w:rsid w:val="000C29BA"/>
    <w:rsid w:val="000F3D02"/>
    <w:rsid w:val="001541B4"/>
    <w:rsid w:val="001A338D"/>
    <w:rsid w:val="001A6A6B"/>
    <w:rsid w:val="001D40FC"/>
    <w:rsid w:val="001E4EEA"/>
    <w:rsid w:val="001E79EC"/>
    <w:rsid w:val="00202C4C"/>
    <w:rsid w:val="00235E67"/>
    <w:rsid w:val="00267769"/>
    <w:rsid w:val="0029794E"/>
    <w:rsid w:val="002B0EBD"/>
    <w:rsid w:val="002B29EF"/>
    <w:rsid w:val="002C721E"/>
    <w:rsid w:val="00340759"/>
    <w:rsid w:val="00411667"/>
    <w:rsid w:val="00425010"/>
    <w:rsid w:val="00447C6D"/>
    <w:rsid w:val="0045089B"/>
    <w:rsid w:val="00451E3D"/>
    <w:rsid w:val="004F516F"/>
    <w:rsid w:val="00516DC8"/>
    <w:rsid w:val="0052068E"/>
    <w:rsid w:val="0053420E"/>
    <w:rsid w:val="005424DF"/>
    <w:rsid w:val="005526A0"/>
    <w:rsid w:val="00564061"/>
    <w:rsid w:val="0062009C"/>
    <w:rsid w:val="0063413D"/>
    <w:rsid w:val="00661AAF"/>
    <w:rsid w:val="0069156A"/>
    <w:rsid w:val="00694F52"/>
    <w:rsid w:val="006E3B93"/>
    <w:rsid w:val="006E3D67"/>
    <w:rsid w:val="007B714A"/>
    <w:rsid w:val="007B7EB5"/>
    <w:rsid w:val="007F60AB"/>
    <w:rsid w:val="008036E5"/>
    <w:rsid w:val="00812F54"/>
    <w:rsid w:val="008278AE"/>
    <w:rsid w:val="008279C8"/>
    <w:rsid w:val="008409B0"/>
    <w:rsid w:val="00846D8B"/>
    <w:rsid w:val="008516DC"/>
    <w:rsid w:val="00880277"/>
    <w:rsid w:val="00884972"/>
    <w:rsid w:val="0089036B"/>
    <w:rsid w:val="0089182B"/>
    <w:rsid w:val="008C3EB7"/>
    <w:rsid w:val="00955FEA"/>
    <w:rsid w:val="009A1F10"/>
    <w:rsid w:val="009A7340"/>
    <w:rsid w:val="009E13B7"/>
    <w:rsid w:val="00A44E76"/>
    <w:rsid w:val="00AB1986"/>
    <w:rsid w:val="00AE58D0"/>
    <w:rsid w:val="00B00FD0"/>
    <w:rsid w:val="00BC09E5"/>
    <w:rsid w:val="00BC484F"/>
    <w:rsid w:val="00C210F6"/>
    <w:rsid w:val="00C51F73"/>
    <w:rsid w:val="00C67341"/>
    <w:rsid w:val="00C76CA6"/>
    <w:rsid w:val="00CE018A"/>
    <w:rsid w:val="00CE6902"/>
    <w:rsid w:val="00D02B18"/>
    <w:rsid w:val="00D12D00"/>
    <w:rsid w:val="00D37103"/>
    <w:rsid w:val="00D8407F"/>
    <w:rsid w:val="00DF2CBD"/>
    <w:rsid w:val="00DF3CB3"/>
    <w:rsid w:val="00DF5FDB"/>
    <w:rsid w:val="00E179C2"/>
    <w:rsid w:val="00E21539"/>
    <w:rsid w:val="00E40E11"/>
    <w:rsid w:val="00E47DCC"/>
    <w:rsid w:val="00E5105A"/>
    <w:rsid w:val="00E52722"/>
    <w:rsid w:val="00EE16E3"/>
    <w:rsid w:val="00F07939"/>
    <w:rsid w:val="00F63AB2"/>
    <w:rsid w:val="00F811BA"/>
    <w:rsid w:val="00FA3C84"/>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C4A5"/>
  <w15:docId w15:val="{161B52B6-09DC-48A4-9DC0-1D1C827B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E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4C"/>
  </w:style>
  <w:style w:type="paragraph" w:styleId="Footer">
    <w:name w:val="footer"/>
    <w:basedOn w:val="Normal"/>
    <w:link w:val="FooterChar"/>
    <w:uiPriority w:val="99"/>
    <w:unhideWhenUsed/>
    <w:rsid w:val="0020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4C"/>
  </w:style>
  <w:style w:type="paragraph" w:styleId="BalloonText">
    <w:name w:val="Balloon Text"/>
    <w:basedOn w:val="Normal"/>
    <w:link w:val="BalloonTextChar"/>
    <w:uiPriority w:val="99"/>
    <w:semiHidden/>
    <w:unhideWhenUsed/>
    <w:rsid w:val="0055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6A0"/>
    <w:rPr>
      <w:rFonts w:ascii="Tahoma" w:hAnsi="Tahoma" w:cs="Tahoma"/>
      <w:sz w:val="16"/>
      <w:szCs w:val="16"/>
    </w:rPr>
  </w:style>
  <w:style w:type="paragraph" w:styleId="NormalWeb">
    <w:name w:val="Normal (Web)"/>
    <w:basedOn w:val="Normal"/>
    <w:uiPriority w:val="99"/>
    <w:unhideWhenUsed/>
    <w:rsid w:val="00516DC8"/>
    <w:pPr>
      <w:spacing w:before="100" w:beforeAutospacing="1" w:after="100" w:afterAutospacing="1" w:line="240" w:lineRule="auto"/>
    </w:pPr>
    <w:rPr>
      <w:rFonts w:eastAsia="Times New Roman"/>
      <w:lang w:val="sq-AL" w:eastAsia="sq-AL"/>
    </w:rPr>
  </w:style>
  <w:style w:type="paragraph" w:styleId="NoSpacing">
    <w:name w:val="No Spacing"/>
    <w:basedOn w:val="Normal"/>
    <w:uiPriority w:val="1"/>
    <w:qFormat/>
    <w:rsid w:val="00516DC8"/>
    <w:pPr>
      <w:spacing w:after="0" w:line="240" w:lineRule="auto"/>
    </w:pPr>
    <w:rPr>
      <w:rFonts w:ascii="Calibri" w:hAnsi="Calibri" w:cs="Calibri"/>
      <w:sz w:val="22"/>
      <w:szCs w:val="22"/>
    </w:rPr>
  </w:style>
  <w:style w:type="paragraph" w:styleId="ListParagraph">
    <w:name w:val="List Paragraph"/>
    <w:basedOn w:val="Normal"/>
    <w:uiPriority w:val="34"/>
    <w:qFormat/>
    <w:rsid w:val="00516DC8"/>
    <w:pPr>
      <w:spacing w:line="252" w:lineRule="auto"/>
      <w:ind w:left="720"/>
      <w:contextualSpacing/>
    </w:pPr>
  </w:style>
  <w:style w:type="table" w:styleId="TableGrid">
    <w:name w:val="Table Grid"/>
    <w:basedOn w:val="TableNormal"/>
    <w:uiPriority w:val="39"/>
    <w:rsid w:val="00CE690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877">
      <w:bodyDiv w:val="1"/>
      <w:marLeft w:val="0"/>
      <w:marRight w:val="0"/>
      <w:marTop w:val="0"/>
      <w:marBottom w:val="0"/>
      <w:divBdr>
        <w:top w:val="none" w:sz="0" w:space="0" w:color="auto"/>
        <w:left w:val="none" w:sz="0" w:space="0" w:color="auto"/>
        <w:bottom w:val="none" w:sz="0" w:space="0" w:color="auto"/>
        <w:right w:val="none" w:sz="0" w:space="0" w:color="auto"/>
      </w:divBdr>
    </w:div>
    <w:div w:id="663051935">
      <w:bodyDiv w:val="1"/>
      <w:marLeft w:val="0"/>
      <w:marRight w:val="0"/>
      <w:marTop w:val="0"/>
      <w:marBottom w:val="0"/>
      <w:divBdr>
        <w:top w:val="none" w:sz="0" w:space="0" w:color="auto"/>
        <w:left w:val="none" w:sz="0" w:space="0" w:color="auto"/>
        <w:bottom w:val="none" w:sz="0" w:space="0" w:color="auto"/>
        <w:right w:val="none" w:sz="0" w:space="0" w:color="auto"/>
      </w:divBdr>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1609577842">
      <w:bodyDiv w:val="1"/>
      <w:marLeft w:val="0"/>
      <w:marRight w:val="0"/>
      <w:marTop w:val="0"/>
      <w:marBottom w:val="0"/>
      <w:divBdr>
        <w:top w:val="none" w:sz="0" w:space="0" w:color="auto"/>
        <w:left w:val="none" w:sz="0" w:space="0" w:color="auto"/>
        <w:bottom w:val="none" w:sz="0" w:space="0" w:color="auto"/>
        <w:right w:val="none" w:sz="0" w:space="0" w:color="auto"/>
      </w:divBdr>
    </w:div>
    <w:div w:id="21380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Shyhrete Topalli</cp:lastModifiedBy>
  <cp:revision>71</cp:revision>
  <cp:lastPrinted>2023-05-30T10:02:00Z</cp:lastPrinted>
  <dcterms:created xsi:type="dcterms:W3CDTF">2026-01-08T08:04:00Z</dcterms:created>
  <dcterms:modified xsi:type="dcterms:W3CDTF">2026-01-13T10:22:00Z</dcterms:modified>
</cp:coreProperties>
</file>